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E64884">
        <w:rPr>
          <w:rFonts w:ascii="Times New Roman" w:hAnsi="Times New Roman" w:cs="Times New Roman"/>
          <w:lang w:val="ru-RU"/>
        </w:rPr>
        <w:t>367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E64884">
        <w:rPr>
          <w:rFonts w:ascii="Times New Roman" w:hAnsi="Times New Roman" w:cs="Times New Roman"/>
          <w:lang w:val="ru-RU"/>
        </w:rPr>
        <w:t xml:space="preserve"> 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 марта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79D6">
        <w:rPr>
          <w:rFonts w:ascii="Times New Roman" w:hAnsi="Times New Roman" w:cs="Times New Roman"/>
          <w:sz w:val="28"/>
          <w:szCs w:val="28"/>
          <w:lang w:val="ru-RU"/>
        </w:rPr>
        <w:t>Кё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F34EB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8079D6">
        <w:rPr>
          <w:rFonts w:ascii="Times New Roman" w:hAnsi="Times New Roman" w:cs="Times New Roman"/>
          <w:sz w:val="28"/>
          <w:szCs w:val="28"/>
          <w:lang w:val="ru-RU"/>
        </w:rPr>
        <w:t>Вахламова С.А.,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Вахламова Сергея Алексеевича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родившегося </w:t>
      </w:r>
      <w:r w:rsidR="00AA38F8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 w:rsidR="007E6BE2">
        <w:rPr>
          <w:rFonts w:ascii="Times New Roman" w:hAnsi="Times New Roman"/>
          <w:sz w:val="28"/>
          <w:lang w:val="ru-RU"/>
        </w:rPr>
        <w:t>в</w:t>
      </w:r>
      <w:r w:rsidR="00F34EB2">
        <w:rPr>
          <w:rFonts w:ascii="Times New Roman" w:hAnsi="Times New Roman"/>
          <w:sz w:val="28"/>
          <w:lang w:val="ru-RU"/>
        </w:rPr>
        <w:t xml:space="preserve"> </w:t>
      </w:r>
      <w:r w:rsidR="00AA38F8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="00AA38F8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AA38F8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34EB2">
        <w:rPr>
          <w:rFonts w:ascii="Times New Roman" w:hAnsi="Times New Roman"/>
          <w:sz w:val="28"/>
          <w:lang w:val="ru-RU"/>
        </w:rPr>
        <w:t xml:space="preserve">не работающего, </w:t>
      </w:r>
      <w:r w:rsidR="00AA38F8">
        <w:rPr>
          <w:rFonts w:ascii="Times New Roman" w:hAnsi="Times New Roman"/>
          <w:sz w:val="28"/>
          <w:lang w:val="ru-RU"/>
        </w:rPr>
        <w:t>*</w:t>
      </w:r>
      <w:r w:rsidR="00F34EB2">
        <w:rPr>
          <w:rFonts w:ascii="Times New Roman" w:hAnsi="Times New Roman"/>
          <w:sz w:val="28"/>
          <w:lang w:val="ru-RU"/>
        </w:rPr>
        <w:t xml:space="preserve">, </w:t>
      </w:r>
      <w:r w:rsidR="008965B4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965B4">
        <w:rPr>
          <w:rFonts w:ascii="Times New Roman" w:hAnsi="Times New Roman" w:cs="Times New Roman"/>
          <w:sz w:val="28"/>
          <w:szCs w:val="28"/>
          <w:lang w:val="ru-RU"/>
        </w:rPr>
        <w:t xml:space="preserve"> г., паспорт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965B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E38E2" w:rsidRPr="00647AAA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03DBF" w:rsidP="001643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рассмотрение мировому судье поступил протокол об административном правонарушении в отношении</w:t>
      </w:r>
      <w:r w:rsidRPr="00F3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 w:rsidR="00797D47">
        <w:rPr>
          <w:rFonts w:ascii="Times New Roman" w:hAnsi="Times New Roman" w:cs="Times New Roman"/>
          <w:sz w:val="28"/>
          <w:szCs w:val="28"/>
          <w:lang w:val="ru-RU"/>
        </w:rPr>
        <w:t xml:space="preserve">Вахламова С.А., </w:t>
      </w:r>
      <w:r w:rsidR="00797D47">
        <w:rPr>
          <w:rFonts w:ascii="Times New Roman" w:hAnsi="Times New Roman" w:cs="Times New Roman"/>
          <w:sz w:val="28"/>
          <w:szCs w:val="28"/>
          <w:lang w:val="ru-RU"/>
        </w:rPr>
        <w:t>согласно которому 24.12.2024 г. в 16 час. 00 мин. на 753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7F4A0E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района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 w:rsidR="00797D4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26A1B" w:rsidR="00164374">
        <w:rPr>
          <w:rFonts w:ascii="Times New Roman" w:hAnsi="Times New Roman" w:cs="Times New Roman"/>
          <w:sz w:val="28"/>
          <w:szCs w:val="28"/>
          <w:lang w:val="ru-RU"/>
        </w:rPr>
        <w:t>ахламов</w:t>
      </w:r>
      <w:r w:rsidRPr="00726A1B" w:rsidR="00797D47">
        <w:rPr>
          <w:rFonts w:ascii="Times New Roman" w:hAnsi="Times New Roman" w:cs="Times New Roman"/>
          <w:sz w:val="28"/>
          <w:szCs w:val="28"/>
          <w:lang w:val="ru-RU"/>
        </w:rPr>
        <w:t xml:space="preserve"> С.А. </w:t>
      </w:r>
      <w:r w:rsidR="007E6BE2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допустил выезд на полосу дороги, предназначенную для встречного движения, в результате чего совершил столкновение с транспортным средством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под управлением водителя Х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ru-RU"/>
        </w:rPr>
        <w:t>зоне действия дорожного знака 3.20 «</w:t>
      </w:r>
      <w:r>
        <w:rPr>
          <w:rFonts w:ascii="Times New Roman" w:hAnsi="Times New Roman" w:cs="Times New Roman"/>
          <w:sz w:val="28"/>
          <w:szCs w:val="28"/>
          <w:lang w:val="ru-RU"/>
        </w:rPr>
        <w:t>обгон запрещен». При ДТП автомобили получили механические повреждения</w:t>
      </w:r>
      <w:r w:rsidR="00164374">
        <w:rPr>
          <w:rFonts w:ascii="Times New Roman" w:hAnsi="Times New Roman" w:cs="Times New Roman"/>
          <w:sz w:val="28"/>
          <w:szCs w:val="28"/>
          <w:lang w:val="ru-RU"/>
        </w:rPr>
        <w:t>, чем нарушил требования пп. 1.3, п.9.1.1 ПДД РФ.</w:t>
      </w:r>
    </w:p>
    <w:p w:rsidR="0016437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В судебном заседании</w:t>
      </w:r>
      <w:r w:rsidRPr="007F4A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пояснил, что при движении на транспортном средстве почувствовал недомогание, в результате чего выехал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на полосу встречного движения и допустил столкновение с </w:t>
      </w:r>
      <w:r w:rsidRPr="00726A1B" w:rsidR="008C4962">
        <w:rPr>
          <w:rFonts w:ascii="Times New Roman" w:hAnsi="Times New Roman" w:cs="Times New Roman"/>
          <w:sz w:val="28"/>
          <w:szCs w:val="28"/>
          <w:lang w:val="ru-RU"/>
        </w:rPr>
        <w:t xml:space="preserve">встречным транспортным средством УАЗ. После столкновения его транспортное средство съехало в кювет. Манёвр обгона не совершал. </w:t>
      </w:r>
    </w:p>
    <w:p w:rsid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Pr="00726A1B" w:rsidR="008C4962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C49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</w:t>
      </w:r>
      <w:r w:rsidR="005375D6">
        <w:rPr>
          <w:rFonts w:ascii="Times New Roman" w:hAnsi="Times New Roman" w:cs="Times New Roman"/>
          <w:sz w:val="28"/>
          <w:szCs w:val="28"/>
          <w:lang w:val="ru-RU"/>
        </w:rPr>
        <w:t>иалы дела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Pr="00726A1B" w:rsidR="008C4962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C4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подлежат переквалификации по следующим основаниям:</w:t>
      </w:r>
    </w:p>
    <w:p w:rsidR="003E00B3" w:rsidP="003E00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установлено протоколом об администрат</w:t>
      </w:r>
      <w:r w:rsidR="008C4962">
        <w:rPr>
          <w:rFonts w:ascii="Times New Roman" w:hAnsi="Times New Roman" w:cs="Times New Roman"/>
          <w:sz w:val="28"/>
          <w:szCs w:val="28"/>
          <w:lang w:val="ru-RU"/>
        </w:rPr>
        <w:t>ивном правонарушении 86ХМ№639690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24.12.2024 г., 24.12.2024 г. в 16 час. 00 мин. на 753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Р-404 «Тюмень-Тобольск-Ханты-Мансийск» Нефтеюганского района, водитель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управлял транспортным средством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допустил выезд на полосу дороги, предназначенную для встречного движения, в результате чего совершил столкнове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с транспортным средством УАЗ г/н </w:t>
      </w:r>
      <w:r w:rsidR="00AA38F8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под управлением водителя Х</w:t>
      </w:r>
      <w:r>
        <w:rPr>
          <w:rFonts w:ascii="Times New Roman" w:hAnsi="Times New Roman" w:cs="Times New Roman"/>
          <w:sz w:val="28"/>
          <w:szCs w:val="28"/>
          <w:lang w:val="ru-RU"/>
        </w:rPr>
        <w:t>., в зоне действия дорожного знака 3.20 «обгон запрещен». При ДТП автомобили получили механические повреждения, чем нарушил требования пп. 1.3, п.9.1.1 ПДД РФ.</w:t>
      </w:r>
    </w:p>
    <w:p w:rsidR="003E00B3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составлении протокола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пояснял, что в ходе движения почувствовал себя плохо, в результате чего выехал на встречную полосу движения. </w:t>
      </w:r>
    </w:p>
    <w:p w:rsid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Факт выезда Вахламова С.А. на полосу встречного движения в зоне действия дорожного знака 3.20 «обгон запре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щен» и столкновения с встречным транспортным средством УАЗ </w:t>
      </w:r>
      <w:r w:rsidR="00B0677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 w:rsidR="00BE59EB">
        <w:rPr>
          <w:rFonts w:ascii="Times New Roman" w:hAnsi="Times New Roman" w:cs="Times New Roman"/>
          <w:sz w:val="28"/>
          <w:szCs w:val="28"/>
          <w:lang w:val="ru-RU"/>
        </w:rPr>
        <w:t xml:space="preserve">под управлением </w:t>
      </w:r>
      <w:r w:rsidR="00B0677C">
        <w:rPr>
          <w:rFonts w:ascii="Times New Roman" w:hAnsi="Times New Roman" w:cs="Times New Roman"/>
          <w:sz w:val="28"/>
          <w:szCs w:val="28"/>
          <w:lang w:val="ru-RU"/>
        </w:rPr>
        <w:t>водителя Х</w:t>
      </w:r>
      <w:r w:rsidR="00BE59E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так же подтверждается схемой происшествия, дополнением </w:t>
      </w:r>
      <w:r w:rsidRPr="00726A1B" w:rsidR="00BE59EB">
        <w:rPr>
          <w:rFonts w:ascii="Times New Roman" w:hAnsi="Times New Roman" w:cs="Times New Roman"/>
          <w:sz w:val="28"/>
          <w:szCs w:val="28"/>
          <w:lang w:val="ru-RU"/>
        </w:rPr>
        <w:t xml:space="preserve">и приложением 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726A1B" w:rsidR="00BE59EB">
        <w:rPr>
          <w:rFonts w:ascii="Times New Roman" w:hAnsi="Times New Roman" w:cs="Times New Roman"/>
          <w:sz w:val="28"/>
          <w:szCs w:val="28"/>
          <w:lang w:val="ru-RU"/>
        </w:rPr>
        <w:t xml:space="preserve"> об административном правонарушении, объяснениями Вахламова С.А. и </w:t>
      </w:r>
      <w:r w:rsidR="00BE59EB">
        <w:rPr>
          <w:rFonts w:ascii="Times New Roman" w:hAnsi="Times New Roman" w:cs="Times New Roman"/>
          <w:sz w:val="28"/>
          <w:szCs w:val="28"/>
          <w:lang w:val="ru-RU"/>
        </w:rPr>
        <w:t>Х.</w:t>
      </w:r>
      <w:r>
        <w:rPr>
          <w:rFonts w:ascii="Times New Roman" w:hAnsi="Times New Roman" w:cs="Times New Roman"/>
          <w:sz w:val="28"/>
          <w:szCs w:val="28"/>
          <w:lang w:val="ru-RU"/>
        </w:rPr>
        <w:t>, рапортом инспектора ДПС Н</w:t>
      </w:r>
      <w:r>
        <w:rPr>
          <w:rFonts w:ascii="Times New Roman" w:hAnsi="Times New Roman" w:cs="Times New Roman"/>
          <w:sz w:val="28"/>
          <w:szCs w:val="28"/>
          <w:lang w:val="ru-RU"/>
        </w:rPr>
        <w:t>. от 24.12.2024 г.</w:t>
      </w:r>
    </w:p>
    <w:p w:rsidR="003E00B3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Исходя их приложения к протоколу, в результате ДТП </w:t>
      </w:r>
      <w:r w:rsidRPr="00726A1B" w:rsidR="00BE5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УАЗ </w:t>
      </w:r>
      <w:r w:rsidR="00B0677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 под управлением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водителя 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получило механические повреждения в левой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(повреждены левое боковое зеркало, левая передняя и задняя дверь, левое крыло). Характер указанных повреждений </w:t>
      </w:r>
      <w:r w:rsidR="00CF601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 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 xml:space="preserve">факт того, </w:t>
      </w:r>
      <w:r w:rsidR="00CF601B">
        <w:rPr>
          <w:rFonts w:ascii="Times New Roman" w:hAnsi="Times New Roman" w:cs="Times New Roman"/>
          <w:sz w:val="28"/>
          <w:szCs w:val="28"/>
          <w:lang w:val="ru-RU"/>
        </w:rPr>
        <w:t>что водитель Вахламов С.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="00CF601B">
        <w:rPr>
          <w:rFonts w:ascii="Times New Roman" w:hAnsi="Times New Roman" w:cs="Times New Roman"/>
          <w:sz w:val="28"/>
          <w:szCs w:val="28"/>
          <w:lang w:val="ru-RU"/>
        </w:rPr>
        <w:t>допустил выезд на полосу встречного движения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 xml:space="preserve"> и боковое столкновение с встречным транспортным средством</w:t>
      </w:r>
      <w:r w:rsidR="00CF60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F60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схемы места совершения правонарушения к протоколу, а так же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выписки из проекта организации дорожного движения,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</w:t>
      </w:r>
      <w:r>
        <w:rPr>
          <w:rFonts w:ascii="Times New Roman" w:hAnsi="Times New Roman" w:cs="Times New Roman"/>
          <w:sz w:val="28"/>
          <w:szCs w:val="28"/>
          <w:lang w:val="ru-RU"/>
        </w:rPr>
        <w:t>допустил выезд на полосу дороги, предназначенную для встречного движения на 753 км. автодороги Р-404 «Тюмень-Т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обольск-Ханты-Мансийск» Нефтеюганского района, в зоне действия дорожного знака 3.20 «обгон запрещен». </w:t>
      </w:r>
    </w:p>
    <w:p w:rsidR="0085041E" w:rsidRPr="00D402E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2E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рапорта </w:t>
      </w:r>
      <w:r w:rsidRPr="00D402EA" w:rsidR="003C647F">
        <w:rPr>
          <w:rFonts w:ascii="Times New Roman" w:hAnsi="Times New Roman" w:cs="Times New Roman"/>
          <w:sz w:val="28"/>
          <w:szCs w:val="28"/>
          <w:lang w:val="ru-RU"/>
        </w:rPr>
        <w:t>инспектора ДПС Н.</w:t>
      </w:r>
      <w:r w:rsidRPr="00D402EA" w:rsidR="00D402EA">
        <w:rPr>
          <w:rFonts w:ascii="Times New Roman" w:hAnsi="Times New Roman" w:cs="Times New Roman"/>
          <w:sz w:val="28"/>
          <w:szCs w:val="28"/>
          <w:lang w:val="ru-RU"/>
        </w:rPr>
        <w:t xml:space="preserve"> от поступившего в суд 13.03.2025 г. </w:t>
      </w:r>
      <w:r w:rsidRPr="00D402EA" w:rsidR="003C647F">
        <w:rPr>
          <w:rFonts w:ascii="Times New Roman" w:hAnsi="Times New Roman" w:cs="Times New Roman"/>
          <w:sz w:val="28"/>
          <w:szCs w:val="28"/>
          <w:lang w:val="ru-RU"/>
        </w:rPr>
        <w:t xml:space="preserve">порядке устранения недостатков материалов дела, водитель Вахламов С.А. </w:t>
      </w:r>
      <w:r w:rsidRPr="00D402EA" w:rsidR="00D402EA">
        <w:rPr>
          <w:rFonts w:ascii="Times New Roman" w:hAnsi="Times New Roman" w:cs="Times New Roman"/>
          <w:sz w:val="28"/>
          <w:szCs w:val="28"/>
          <w:lang w:val="ru-RU"/>
        </w:rPr>
        <w:t xml:space="preserve">допустил столкновение с автомобилем УАЗ в зоне действия дорожного знака 3.20 «Обгон запрещен» </w:t>
      </w:r>
      <w:r w:rsidRPr="00D402EA" w:rsidR="003C647F">
        <w:rPr>
          <w:rFonts w:ascii="Times New Roman" w:hAnsi="Times New Roman" w:cs="Times New Roman"/>
          <w:sz w:val="28"/>
          <w:szCs w:val="28"/>
          <w:lang w:val="ru-RU"/>
        </w:rPr>
        <w:t>при совершении обгона впереди движущегося транспортного средства, связанного с выездом на полосу встречного движения</w:t>
      </w:r>
      <w:r w:rsidRPr="00D402EA" w:rsidR="00D402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02EA" w:rsidR="003C6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4BF9" w:rsidRPr="00726A1B" w:rsidP="00D402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</w:t>
      </w:r>
      <w:r w:rsidR="0085041E">
        <w:rPr>
          <w:rFonts w:ascii="Times New Roman" w:hAnsi="Times New Roman" w:cs="Times New Roman"/>
          <w:sz w:val="28"/>
          <w:szCs w:val="28"/>
          <w:lang w:val="ru-RU"/>
        </w:rPr>
        <w:t>вого судьи судебного участка №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41E">
        <w:rPr>
          <w:rFonts w:ascii="Times New Roman" w:hAnsi="Times New Roman" w:cs="Times New Roman"/>
          <w:sz w:val="28"/>
          <w:szCs w:val="28"/>
          <w:lang w:val="ru-RU"/>
        </w:rPr>
        <w:t>Нефтеюганского судебного района от 22.01.2025 г. дело по 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одатайству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504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передано для рассмотрения по месту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жительства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 мировому судье судебного участка № 7 Нефтеюганского судебного района ХМАО-Югры.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>На день рассмотрения дела судом с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ок давности привлечения к админист</w:t>
      </w:r>
      <w:r w:rsidRPr="00726A1B" w:rsidR="00504ADE">
        <w:rPr>
          <w:rFonts w:ascii="Times New Roman" w:hAnsi="Times New Roman" w:cs="Times New Roman"/>
          <w:sz w:val="28"/>
          <w:szCs w:val="28"/>
          <w:lang w:val="ru-RU"/>
        </w:rPr>
        <w:t xml:space="preserve">ративной ответственности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504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A1B" w:rsidR="00504ADE">
        <w:rPr>
          <w:rFonts w:ascii="Times New Roman" w:hAnsi="Times New Roman" w:cs="Times New Roman"/>
          <w:sz w:val="28"/>
          <w:szCs w:val="28"/>
          <w:lang w:val="ru-RU"/>
        </w:rPr>
        <w:t>не истёк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037E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Из реестра правонарушений следует, что ранее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</w:t>
      </w:r>
      <w:r w:rsidRPr="00726A1B" w:rsidR="0085041E">
        <w:rPr>
          <w:rFonts w:ascii="Times New Roman" w:hAnsi="Times New Roman" w:cs="Times New Roman"/>
          <w:sz w:val="28"/>
          <w:szCs w:val="28"/>
          <w:lang w:val="ru-RU"/>
        </w:rPr>
        <w:t>не привлекался.</w:t>
      </w:r>
    </w:p>
    <w:p w:rsidR="00F86C0E" w:rsidRP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>В соот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9.1.1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(утверждены Постановлением Правительства РФ от 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E82B4B">
        <w:rPr>
          <w:rFonts w:ascii="Times New Roman" w:hAnsi="Times New Roman" w:cs="Times New Roman"/>
          <w:sz w:val="28"/>
          <w:szCs w:val="28"/>
          <w:lang w:val="ru-RU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</w:t>
      </w:r>
      <w:r w:rsidRPr="00E82B4B">
        <w:rPr>
          <w:rFonts w:ascii="Times New Roman" w:hAnsi="Times New Roman" w:cs="Times New Roman"/>
          <w:sz w:val="28"/>
          <w:szCs w:val="28"/>
          <w:lang w:val="ru-RU"/>
        </w:rPr>
        <w:t>прерывистая л</w:t>
      </w:r>
      <w:r w:rsidRPr="00E82B4B">
        <w:rPr>
          <w:rFonts w:ascii="Times New Roman" w:hAnsi="Times New Roman" w:cs="Times New Roman"/>
          <w:sz w:val="28"/>
          <w:szCs w:val="28"/>
          <w:lang w:val="ru-RU"/>
        </w:rPr>
        <w:t>иния которой расположена слева».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6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х средств", </w:t>
      </w:r>
      <w:hyperlink r:id="rId6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встречного направления (за исключением случаев объезда препятствия (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9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504ADE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тем, ф</w:t>
      </w:r>
      <w:r w:rsidRPr="00504ADE">
        <w:rPr>
          <w:rFonts w:ascii="Times New Roman" w:hAnsi="Times New Roman" w:cs="Times New Roman"/>
          <w:sz w:val="28"/>
          <w:szCs w:val="28"/>
          <w:lang w:val="ru-RU"/>
        </w:rPr>
        <w:t xml:space="preserve">акт совершения </w:t>
      </w:r>
      <w:r w:rsidR="00E82B4B">
        <w:rPr>
          <w:rFonts w:ascii="Times New Roman" w:hAnsi="Times New Roman" w:cs="Times New Roman"/>
          <w:sz w:val="28"/>
          <w:szCs w:val="28"/>
          <w:lang w:val="ru-RU"/>
        </w:rPr>
        <w:t xml:space="preserve">Вахламовым С.А. </w:t>
      </w:r>
      <w:r w:rsidRPr="00504ADE">
        <w:rPr>
          <w:rFonts w:ascii="Times New Roman" w:hAnsi="Times New Roman" w:cs="Times New Roman"/>
          <w:sz w:val="28"/>
          <w:szCs w:val="28"/>
          <w:lang w:val="ru-RU"/>
        </w:rPr>
        <w:t>административного правонарушения, предусмотренного </w:t>
      </w:r>
      <w:hyperlink r:id="rId10" w:history="1">
        <w:r w:rsidRPr="00504ADE">
          <w:rPr>
            <w:rFonts w:ascii="Times New Roman" w:hAnsi="Times New Roman" w:cs="Times New Roman"/>
            <w:sz w:val="28"/>
            <w:szCs w:val="28"/>
            <w:lang w:val="ru-RU"/>
          </w:rPr>
          <w:t>ч. 4 ст. 12.15 КоАП РФ</w:t>
        </w:r>
      </w:hyperlink>
      <w:r w:rsidRPr="00504ADE">
        <w:rPr>
          <w:rFonts w:ascii="Times New Roman" w:hAnsi="Times New Roman" w:cs="Times New Roman"/>
          <w:sz w:val="28"/>
          <w:szCs w:val="28"/>
          <w:lang w:val="ru-RU"/>
        </w:rPr>
        <w:t>, не подтвержден совокупностью имеющихся в материалах дела доказательств.</w:t>
      </w:r>
    </w:p>
    <w:p w:rsidR="00BD7DDD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Вахламову С.А.</w:t>
      </w:r>
      <w:r w:rsidRPr="00BD7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вменяется выезд на полосу встречного движения в зоне знака 3.20 «Обгон запрещен». </w:t>
      </w:r>
    </w:p>
    <w:p w:rsidR="00BD7DDD" w:rsidRPr="009B65DF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(утвер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апрещается обгон всех транспортных средств, кроме тихоходных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7DDD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Таким образом Правилами дорожного движения, запрет выезда на полосу, предназначенную для встречного движения, в зоне дорожного знака 3.20, если эт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о не связано с манёвром обгона, не содержат.  Материалами дела факт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совершения Вахламовым С.А.   манёвра обгона не установлен и протоколом об административном правонарушении ему не вменяется. </w:t>
      </w:r>
    </w:p>
    <w:p w:rsidR="00BD7DDD" w:rsidRPr="00726A1B" w:rsidP="00D402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Нарушение каких-либо иных требований </w:t>
      </w:r>
      <w:hyperlink r:id="rId11" w:anchor="100015" w:history="1"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>Правил</w:t>
        </w:r>
      </w:hyperlink>
      <w:r w:rsidRPr="00726A1B">
        <w:rPr>
          <w:rFonts w:ascii="Times New Roman" w:hAnsi="Times New Roman" w:cs="Times New Roman"/>
          <w:sz w:val="28"/>
          <w:szCs w:val="28"/>
          <w:lang w:val="ru-RU"/>
        </w:rPr>
        <w:t> дорожного движения, прямо запрещающих выезд на полосу, предназначенную для встречного движения, и влекущих ответственность по </w:t>
      </w:r>
      <w:hyperlink r:id="rId12" w:anchor="003839" w:history="1"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726A1B">
        <w:rPr>
          <w:rFonts w:ascii="Times New Roman" w:hAnsi="Times New Roman" w:cs="Times New Roman"/>
          <w:sz w:val="28"/>
          <w:szCs w:val="28"/>
          <w:lang w:val="ru-RU"/>
        </w:rPr>
        <w:t> Кодекса Российской Федерации об административных правонарушениях, Вахламову С.А.   не вменяется и из материалов дела нарушение им таких требований не усматривается. Разметка и (или) дорожные знаки, которые зап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рещали бы выезд на полосу, предназначенную для встречного движения, на указанном </w:t>
      </w:r>
      <w:r w:rsidRPr="00726A1B" w:rsidR="0003395E">
        <w:rPr>
          <w:rFonts w:ascii="Times New Roman" w:hAnsi="Times New Roman" w:cs="Times New Roman"/>
          <w:sz w:val="28"/>
          <w:szCs w:val="28"/>
          <w:lang w:val="ru-RU"/>
        </w:rPr>
        <w:t xml:space="preserve">в протоколе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участке дороги отсутствуют.</w:t>
      </w:r>
    </w:p>
    <w:p w:rsidR="0003395E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При этом судья критически относится к содержанию рапорта инспектора ДПС Н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., поступившему в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суд 13.03.2025 г.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в нем обстоятельства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противоречат совокупности иных материалов дела, пояснениям участников ДТП Вахламова С.А.   и Х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., а так же рапорту самого инспектора ДПС Н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., написанному в день составления протокола об административном пр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авонарушении.</w:t>
      </w:r>
    </w:p>
    <w:p w:rsidR="00BD7DDD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действия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Вахламова С.А. подлежали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квалификации по </w:t>
      </w:r>
      <w:hyperlink r:id="rId12" w:anchor="002253" w:history="1"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>части 1 статьи 12.15</w:t>
        </w:r>
      </w:hyperlink>
      <w:r w:rsidRPr="00726A1B">
        <w:rPr>
          <w:rFonts w:ascii="Times New Roman" w:hAnsi="Times New Roman" w:cs="Times New Roman"/>
          <w:sz w:val="28"/>
          <w:szCs w:val="28"/>
          <w:lang w:val="ru-RU"/>
        </w:rPr>
        <w:t> Кодекса Российской Федерации об административных правонару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шениях, которой установлена административная ответственность за нарушение правил расположения транспортного средства на проезжей части дороги, встречного разъезда, а равно движение по обочинам или пересечение организованной транспортной или пешей колонны л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ибо занятие места в ней.</w:t>
      </w:r>
    </w:p>
    <w:p w:rsidR="00BD7DDD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A1B">
        <w:rPr>
          <w:rFonts w:ascii="Times New Roman" w:hAnsi="Times New Roman" w:cs="Times New Roman"/>
          <w:sz w:val="28"/>
          <w:szCs w:val="28"/>
          <w:lang w:val="ru-RU"/>
        </w:rPr>
        <w:t>Санкцией </w:t>
      </w:r>
      <w:hyperlink r:id="rId12" w:anchor="002253" w:history="1"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>части 1 статьи 12.15</w:t>
        </w:r>
      </w:hyperlink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 Кодекса Российской Федерации об административных правонарушениях установлено административное наказание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в виде административного штрафа в размере 1 500 рублей.</w:t>
      </w:r>
    </w:p>
    <w:p w:rsidR="00504ADE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В силу положений ст. 1.5 КоАП РФ, лицо подлежит административной ответственности только за те административные правонарушения, в отношении которых установлена его вина.</w:t>
      </w:r>
    </w:p>
    <w:p w:rsidR="00504ADE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При этом, лицо, в отношении которого ведется производство по делу об административном правонарушении,  не обязано доказывать свою невиновность, а неустранимые сомнения в виновности указанного лица толкуются в пользу этого лица.</w:t>
      </w:r>
    </w:p>
    <w:p w:rsidR="0089616B" w:rsidRPr="00726A1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Суд, исследовав все обстояте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льства дела в их совокупности и оценив собранные доказательства, приходит к выводу, что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Вахламов С.А.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виновен в совершении 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правонарушения, предусмотренного </w:t>
      </w:r>
      <w:hyperlink r:id="rId12" w:anchor="002253" w:history="1"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 xml:space="preserve">ч. </w:t>
        </w:r>
        <w:r w:rsidRPr="00726A1B">
          <w:rPr>
            <w:rFonts w:ascii="Times New Roman" w:hAnsi="Times New Roman" w:cs="Times New Roman"/>
            <w:sz w:val="28"/>
            <w:szCs w:val="28"/>
            <w:lang w:val="ru-RU"/>
          </w:rPr>
          <w:t>1 ст. 12.15</w:t>
        </w:r>
      </w:hyperlink>
      <w:r w:rsidRPr="00726A1B">
        <w:rPr>
          <w:rFonts w:ascii="Times New Roman" w:hAnsi="Times New Roman" w:cs="Times New Roman"/>
          <w:sz w:val="28"/>
          <w:szCs w:val="28"/>
          <w:lang w:val="ru-RU"/>
        </w:rPr>
        <w:t> Кодекса Российской Федерации об административных правонарушениях, которой установлена административная ответственность за нарушение правил расположения транспортного средства на проезжей части дороги, встречного разъезда, а равно движение по об</w:t>
      </w:r>
      <w:r w:rsidRPr="00726A1B">
        <w:rPr>
          <w:rFonts w:ascii="Times New Roman" w:hAnsi="Times New Roman" w:cs="Times New Roman"/>
          <w:sz w:val="28"/>
          <w:szCs w:val="28"/>
          <w:lang w:val="ru-RU"/>
        </w:rPr>
        <w:t>очинам или пересечение организованной транспортной или пешей колонны либо занятие места в ней.</w:t>
      </w:r>
    </w:p>
    <w:p w:rsidR="00214D64" w:rsidRPr="00214D64" w:rsidP="00D402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20 Постановления Пленума Верховного Суда Российской Федерации от дата № 5 от 24.03.2005 "О некоторых вопросах, возникающих у судов при п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рименении Кодекса Российской Федерации об 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ицировать действия (бездействие) лица на другую статью,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предусматривающую состав правонарушения,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и его рассмотрения (рассмотрение дела не относится к компетенции арбитражного суда). </w:t>
      </w:r>
    </w:p>
    <w:p w:rsidR="00214D64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Суд, установив, что в судебном заседании нашел подтверждение факт  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 xml:space="preserve">того, что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Вахламов С.А.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D64" w:rsidR="00C0037E">
        <w:rPr>
          <w:rFonts w:ascii="Times New Roman" w:hAnsi="Times New Roman" w:cs="Times New Roman"/>
          <w:sz w:val="28"/>
          <w:szCs w:val="28"/>
          <w:lang w:val="ru-RU"/>
        </w:rPr>
        <w:t xml:space="preserve">виновен в 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нарушение правил расположения транспортного средства на проезжей части дороги,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считает целесообразным его действ</w:t>
      </w:r>
      <w:r w:rsidR="00C0037E">
        <w:rPr>
          <w:rFonts w:ascii="Times New Roman" w:hAnsi="Times New Roman" w:cs="Times New Roman"/>
          <w:sz w:val="28"/>
          <w:szCs w:val="28"/>
          <w:lang w:val="ru-RU"/>
        </w:rPr>
        <w:t>ия переквалифицировать с части 4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стать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>и 12.15 КоАП РФ на часть 1 статьи 12.15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 КоАП РФ, отмечая, что переквалификация действий лица на другую статью, предусматривающую состав правонарушения, имеющий единый родово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й объект посягательства не ухудшает положения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и не изменяет подведомственности его рассмотрения.</w:t>
      </w:r>
    </w:p>
    <w:p w:rsidR="00214D64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Оценивая доказательства в их совокупности, мировой судья считает, что виновность </w:t>
      </w:r>
      <w:r w:rsidRPr="00726A1B" w:rsidR="0089616B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</w:t>
      </w:r>
      <w:r w:rsidR="0089616B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1 ст. 12.15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КоАП РФ доказана, подтверждается имеющимися в материалах дела и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оцессуальных нарушений, данные документы не содержат. </w:t>
      </w:r>
    </w:p>
    <w:p w:rsidR="0089616B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Смягчающих и отягчающих административную ответственность обстоятельств не установлено.</w:t>
      </w:r>
    </w:p>
    <w:p w:rsidR="00214D64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26A1B" w:rsidR="00B710B8">
        <w:rPr>
          <w:rFonts w:ascii="Times New Roman" w:hAnsi="Times New Roman" w:cs="Times New Roman"/>
          <w:sz w:val="28"/>
          <w:szCs w:val="28"/>
          <w:lang w:val="ru-RU"/>
        </w:rPr>
        <w:t>Вахламова С.А.</w:t>
      </w:r>
      <w:r w:rsidR="00B71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его имущественное и семейное положение, и приходит к выводу, что наказание необходимо назначить в виде административного</w:t>
      </w:r>
      <w:r w:rsidR="00B710B8">
        <w:rPr>
          <w:rFonts w:ascii="Times New Roman" w:hAnsi="Times New Roman" w:cs="Times New Roman"/>
          <w:sz w:val="28"/>
          <w:szCs w:val="28"/>
          <w:lang w:val="ru-RU"/>
        </w:rPr>
        <w:t xml:space="preserve"> штрафа, в пределах санкции ч. 1 ст. 12.15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 xml:space="preserve"> КоАП РФ. </w:t>
      </w:r>
    </w:p>
    <w:p w:rsidR="00214D64" w:rsidRPr="00214D64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D64">
        <w:rPr>
          <w:rFonts w:ascii="Times New Roman" w:hAnsi="Times New Roman" w:cs="Times New Roman"/>
          <w:sz w:val="28"/>
          <w:szCs w:val="28"/>
          <w:lang w:val="ru-RU"/>
        </w:rPr>
        <w:t>Руководствуясь ст.ст. 29.9, 29.10 Кодекса Российской Федерации об а</w:t>
      </w:r>
      <w:r w:rsidRPr="00214D64">
        <w:rPr>
          <w:rFonts w:ascii="Times New Roman" w:hAnsi="Times New Roman" w:cs="Times New Roman"/>
          <w:sz w:val="28"/>
          <w:szCs w:val="28"/>
          <w:lang w:val="ru-RU"/>
        </w:rPr>
        <w:t>дминистративных правонарушениях, мировой судья</w:t>
      </w:r>
    </w:p>
    <w:p w:rsidR="00214D64" w:rsidRPr="00214D64" w:rsidP="00214D64">
      <w:pPr>
        <w:ind w:firstLine="567"/>
        <w:jc w:val="both"/>
      </w:pPr>
    </w:p>
    <w:p w:rsidR="00F25BA7" w:rsidRPr="00196784" w:rsidP="00F25B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25BA7" w:rsidRPr="00196784" w:rsidP="00F25B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B710B8">
        <w:rPr>
          <w:rFonts w:ascii="Times New Roman" w:hAnsi="Times New Roman"/>
          <w:sz w:val="28"/>
          <w:lang w:val="ru-RU"/>
        </w:rPr>
        <w:t>Вахламова Сергея Алексеевича</w:t>
      </w:r>
      <w:r w:rsidR="00B71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="00B710B8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1 ст. 12.15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B710B8">
        <w:rPr>
          <w:rFonts w:ascii="Times New Roman" w:hAnsi="Times New Roman" w:cs="Times New Roman"/>
          <w:sz w:val="28"/>
          <w:szCs w:val="28"/>
          <w:lang w:val="ru-RU"/>
        </w:rPr>
        <w:t>стративного штрафа в размере 1 5</w:t>
      </w:r>
      <w:r w:rsidR="00D402EA">
        <w:rPr>
          <w:rFonts w:ascii="Times New Roman" w:hAnsi="Times New Roman" w:cs="Times New Roman"/>
          <w:sz w:val="28"/>
          <w:szCs w:val="28"/>
          <w:lang w:val="ru-RU"/>
        </w:rPr>
        <w:t>00 (одна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D402EA">
        <w:rPr>
          <w:rFonts w:ascii="Times New Roman" w:hAnsi="Times New Roman" w:cs="Times New Roman"/>
          <w:sz w:val="28"/>
          <w:szCs w:val="28"/>
          <w:lang w:val="ru-RU"/>
        </w:rPr>
        <w:t>а пятьсот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4091022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>4978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предусмотренны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hyperlink r:id="rId13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25BA7" w:rsidRPr="003F395D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F25BA7" w:rsidRPr="00196784" w:rsidP="00F25B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Ханты-Мансийского автономного округа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- Югры в течение 10 дней со дня получения копии постановления, с подачей жалобы через мирового судью</w:t>
      </w:r>
      <w:r w:rsidRP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</w:t>
      </w:r>
      <w:r w:rsidR="00726A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Е.В. Кё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BA7" w:rsidRPr="00196784" w:rsidP="00F25B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AD636F">
      <w:headerReference w:type="default" r:id="rId14"/>
      <w:footerReference w:type="default" r:id="rId15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0339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77C" w:rsidR="00B0677C">
          <w:rPr>
            <w:noProof/>
            <w:lang w:val="ru-RU"/>
          </w:rPr>
          <w:t>6</w:t>
        </w:r>
        <w:r>
          <w:fldChar w:fldCharType="end"/>
        </w:r>
      </w:p>
    </w:sdtContent>
  </w:sdt>
  <w:p w:rsidR="000339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95E" w:rsidP="00C4457F">
    <w:pPr>
      <w:pStyle w:val="Header"/>
      <w:framePr w:h="192" w:hRule="atLeast" w:wrap="none" w:vAnchor="text" w:hAnchor="page" w:x="6105" w:y="728"/>
    </w:pPr>
  </w:p>
  <w:p w:rsidR="0003395E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3395E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4374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4D64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C647F"/>
    <w:rsid w:val="003D2F94"/>
    <w:rsid w:val="003E00B3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24AB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91037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04ADE"/>
    <w:rsid w:val="005132EA"/>
    <w:rsid w:val="005150CF"/>
    <w:rsid w:val="00523AFA"/>
    <w:rsid w:val="00524795"/>
    <w:rsid w:val="005375D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A0DEE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6A1B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97D47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4A0E"/>
    <w:rsid w:val="007F543D"/>
    <w:rsid w:val="00805BAC"/>
    <w:rsid w:val="008079D6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041E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616B"/>
    <w:rsid w:val="008965B4"/>
    <w:rsid w:val="0089724B"/>
    <w:rsid w:val="008A7988"/>
    <w:rsid w:val="008B3911"/>
    <w:rsid w:val="008C3AE6"/>
    <w:rsid w:val="008C3D61"/>
    <w:rsid w:val="008C4962"/>
    <w:rsid w:val="008C56AB"/>
    <w:rsid w:val="008D1C8C"/>
    <w:rsid w:val="008E1FFD"/>
    <w:rsid w:val="008F1502"/>
    <w:rsid w:val="008F328A"/>
    <w:rsid w:val="008F41B6"/>
    <w:rsid w:val="008F75F2"/>
    <w:rsid w:val="00903DBF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0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A38F8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0677C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0B8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D7DDD"/>
    <w:rsid w:val="00BE04BD"/>
    <w:rsid w:val="00BE11F9"/>
    <w:rsid w:val="00BE29AB"/>
    <w:rsid w:val="00BE501F"/>
    <w:rsid w:val="00BE59EB"/>
    <w:rsid w:val="00BF5CCC"/>
    <w:rsid w:val="00C0037E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01B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02EA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4884"/>
    <w:rsid w:val="00E66E4D"/>
    <w:rsid w:val="00E7070E"/>
    <w:rsid w:val="00E71803"/>
    <w:rsid w:val="00E7190D"/>
    <w:rsid w:val="00E7665B"/>
    <w:rsid w:val="00E80F0F"/>
    <w:rsid w:val="00E8201D"/>
    <w:rsid w:val="00E82B4B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5BA7"/>
    <w:rsid w:val="00F27DE8"/>
    <w:rsid w:val="00F31A86"/>
    <w:rsid w:val="00F34EB2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paragraph" w:styleId="NormalWeb">
    <w:name w:val="Normal (Web)"/>
    <w:basedOn w:val="Normal"/>
    <w:uiPriority w:val="99"/>
    <w:semiHidden/>
    <w:unhideWhenUsed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Normal"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2">
    <w:name w:val="fontstyle12"/>
    <w:basedOn w:val="DefaultParagraphFont"/>
    <w:rsid w:val="00504ADE"/>
  </w:style>
  <w:style w:type="paragraph" w:styleId="BodyText">
    <w:name w:val="Body Text"/>
    <w:basedOn w:val="Normal"/>
    <w:link w:val="a5"/>
    <w:uiPriority w:val="99"/>
    <w:semiHidden/>
    <w:unhideWhenUsed/>
    <w:rsid w:val="00214D64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214D64"/>
    <w:rPr>
      <w:color w:val="000000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214D6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214D64"/>
    <w:rPr>
      <w:color w:val="000000"/>
    </w:rPr>
  </w:style>
  <w:style w:type="character" w:customStyle="1" w:styleId="3pt">
    <w:name w:val="Основной текст + Интервал 3 pt"/>
    <w:rsid w:val="0021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both">
    <w:name w:val="pboth"/>
    <w:basedOn w:val="Normal"/>
    <w:rsid w:val="00BD7D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barrister.3dn.ru/publ/jurist/chast_4_stati_12_15_koap/24-1-0-2443" TargetMode="External" /><Relationship Id="rId11" Type="http://schemas.openxmlformats.org/officeDocument/2006/relationships/hyperlink" Target="https://legalacts.ru/doc/PP-RF-_1090-ot-23_10_93/" TargetMode="External" /><Relationship Id="rId12" Type="http://schemas.openxmlformats.org/officeDocument/2006/relationships/hyperlink" Target="https://legalacts.ru/kodeks/KOAP-RF/razdel-ii/glava-12/statja-12.15/" TargetMode="External" /><Relationship Id="rId13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336-5B36-4EB5-A208-B2C81FC3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